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0" w:type="dxa"/>
        <w:tblLayout w:type="fixed"/>
        <w:tblCellMar>
          <w:top w:w="28" w:type="dxa"/>
          <w:left w:w="113" w:type="dxa"/>
          <w:bottom w:w="28" w:type="dxa"/>
          <w:right w:w="113" w:type="dxa"/>
        </w:tblCellMar>
        <w:tblLook w:firstRow="1" w:noVBand="1" w:lastRow="0" w:firstColumn="1" w:lastColumn="0" w:noHBand="0" w:val="04a0"/>
      </w:tblPr>
      <w:tblGrid>
        <w:gridCol w:w="1133"/>
        <w:gridCol w:w="2926"/>
        <w:gridCol w:w="3453"/>
        <w:gridCol w:w="2269"/>
      </w:tblGrid>
      <w:tr>
        <w:trPr>
          <w:trHeight w:val="28" w:hRule="atLeast"/>
        </w:trPr>
        <w:tc>
          <w:tcPr>
            <w:tcW w:w="9781" w:type="dxa"/>
            <w:gridSpan w:val="4"/>
            <w:tcBorders/>
            <w:shd w:color="auto" w:fill="auto" w:val="clear"/>
            <w:vAlign w:val="center"/>
          </w:tcPr>
          <w:p>
            <w:pPr>
              <w:pStyle w:val="Normal"/>
              <w:widowControl w:val="false"/>
              <w:spacing w:lineRule="exact" w:line="400"/>
              <w:jc w:val="center"/>
              <w:rPr>
                <w:rFonts w:ascii="ＭＳ ゴシック" w:hAnsi="ＭＳ ゴシック" w:eastAsia="ＭＳ ゴシック" w:cs="ＭＳ Ｐゴシック"/>
                <w:b/>
                <w:b/>
                <w:bCs/>
                <w:kern w:val="0"/>
                <w:sz w:val="26"/>
                <w:szCs w:val="26"/>
              </w:rPr>
            </w:pPr>
            <w:bookmarkStart w:id="0" w:name="RANGE!A1%3AD39"/>
            <w:r>
              <w:rPr>
                <w:rFonts w:ascii="ＭＳ ゴシック" w:hAnsi="ＭＳ ゴシック" w:cs="ＭＳ Ｐゴシック" w:eastAsia="ＭＳ ゴシック"/>
                <w:b/>
                <w:bCs/>
                <w:kern w:val="0"/>
                <w:sz w:val="26"/>
                <w:szCs w:val="26"/>
              </w:rPr>
              <w:t>農林水産業・食品産業の作業安全のための規範（個別規範：林業）　</w:t>
            </w:r>
          </w:p>
          <w:p>
            <w:pPr>
              <w:pStyle w:val="Normal"/>
              <w:widowControl w:val="false"/>
              <w:spacing w:lineRule="exact" w:line="400"/>
              <w:jc w:val="center"/>
              <w:rPr>
                <w:rFonts w:ascii="ＭＳ ゴシック" w:hAnsi="ＭＳ ゴシック" w:eastAsia="ＭＳ ゴシック" w:cs="ＭＳ Ｐゴシック"/>
                <w:b/>
                <w:b/>
                <w:bCs/>
                <w:kern w:val="0"/>
                <w:sz w:val="26"/>
                <w:szCs w:val="26"/>
              </w:rPr>
            </w:pPr>
            <w:bookmarkStart w:id="1" w:name="RANGE!A1%3AD39"/>
            <w:r>
              <w:rPr>
                <w:rFonts w:ascii="ＭＳ ゴシック" w:hAnsi="ＭＳ ゴシック" w:cs="ＭＳ Ｐゴシック" w:eastAsia="ＭＳ ゴシック"/>
                <w:b/>
                <w:bCs/>
                <w:kern w:val="0"/>
                <w:sz w:val="26"/>
                <w:szCs w:val="26"/>
              </w:rPr>
              <w:t>事業者向け　チェックシート</w:t>
            </w:r>
            <w:bookmarkEnd w:id="1"/>
          </w:p>
          <w:p>
            <w:pPr>
              <w:pStyle w:val="Normal"/>
              <w:widowControl w:val="false"/>
              <w:spacing w:lineRule="exact" w:line="400"/>
              <w:jc w:val="right"/>
              <w:rPr>
                <w:rFonts w:ascii="ＭＳ ゴシック" w:hAnsi="ＭＳ ゴシック" w:eastAsia="ＭＳ ゴシック"/>
                <w:b/>
                <w:b/>
                <w:bCs/>
                <w:sz w:val="26"/>
                <w:szCs w:val="26"/>
              </w:rPr>
            </w:pPr>
            <w:r>
              <w:rPr>
                <w:rFonts w:ascii="ＭＳ ゴシック" w:hAnsi="ＭＳ ゴシック" w:eastAsia="ＭＳ ゴシック"/>
                <w:b/>
                <w:bCs/>
                <w:sz w:val="26"/>
                <w:szCs w:val="26"/>
              </w:rPr>
              <w:t>令和</w:t>
            </w:r>
            <w:r>
              <w:rPr>
                <w:rFonts w:eastAsia="ＭＳ ゴシック" w:ascii="ＭＳ ゴシック" w:hAnsi="ＭＳ ゴシック"/>
                <w:b/>
                <w:bCs/>
                <w:sz w:val="26"/>
                <w:szCs w:val="26"/>
              </w:rPr>
              <w:t>4</w:t>
            </w:r>
            <w:r>
              <w:rPr>
                <w:rFonts w:ascii="ＭＳ ゴシック" w:hAnsi="ＭＳ ゴシック" w:eastAsia="ＭＳ ゴシック"/>
                <w:b/>
                <w:bCs/>
                <w:sz w:val="26"/>
                <w:szCs w:val="26"/>
              </w:rPr>
              <w:t>年</w:t>
            </w:r>
            <w:r>
              <w:rPr>
                <w:rFonts w:eastAsia="ＭＳ ゴシック" w:ascii="ＭＳ ゴシック" w:hAnsi="ＭＳ ゴシック"/>
                <w:b/>
                <w:bCs/>
                <w:sz w:val="26"/>
                <w:szCs w:val="26"/>
              </w:rPr>
              <w:t>4</w:t>
            </w:r>
            <w:r>
              <w:rPr>
                <w:rFonts w:ascii="ＭＳ ゴシック" w:hAnsi="ＭＳ ゴシック" w:eastAsia="ＭＳ ゴシック"/>
                <w:b/>
                <w:bCs/>
                <w:sz w:val="26"/>
                <w:szCs w:val="26"/>
              </w:rPr>
              <w:t>月</w:t>
            </w:r>
            <w:r>
              <w:rPr>
                <w:rFonts w:eastAsia="ＭＳ ゴシック" w:ascii="ＭＳ ゴシック" w:hAnsi="ＭＳ ゴシック"/>
                <w:b/>
                <w:bCs/>
                <w:sz w:val="26"/>
                <w:szCs w:val="26"/>
              </w:rPr>
              <w:t>1</w:t>
            </w:r>
            <w:r>
              <w:rPr>
                <w:rFonts w:ascii="ＭＳ ゴシック" w:hAnsi="ＭＳ ゴシック" w:eastAsia="ＭＳ ゴシック"/>
                <w:b/>
                <w:bCs/>
                <w:sz w:val="26"/>
                <w:szCs w:val="26"/>
              </w:rPr>
              <w:t>日</w:t>
            </w:r>
          </w:p>
          <w:p>
            <w:pPr>
              <w:pStyle w:val="Normal"/>
              <w:widowControl w:val="false"/>
              <w:spacing w:lineRule="exact" w:line="400"/>
              <w:jc w:val="right"/>
              <w:rPr>
                <w:rFonts w:ascii="ＭＳ ゴシック" w:hAnsi="ＭＳ ゴシック" w:eastAsia="ＭＳ ゴシック" w:cs="ＭＳ Ｐゴシック"/>
                <w:b/>
                <w:b/>
                <w:bCs/>
                <w:kern w:val="0"/>
                <w:sz w:val="26"/>
                <w:szCs w:val="26"/>
              </w:rPr>
            </w:pPr>
            <w:r>
              <w:rPr>
                <w:rFonts w:ascii="ＭＳ ゴシック" w:hAnsi="ＭＳ ゴシック" w:eastAsia="ＭＳ ゴシック"/>
                <w:b/>
                <w:bCs/>
                <w:sz w:val="26"/>
                <w:szCs w:val="26"/>
              </w:rPr>
              <w:t>林野庁</w:t>
            </w:r>
          </w:p>
        </w:tc>
      </w:tr>
      <w:tr>
        <w:trPr>
          <w:trHeight w:val="51" w:hRule="atLeast"/>
        </w:trPr>
        <w:tc>
          <w:tcPr>
            <w:tcW w:w="4059" w:type="dxa"/>
            <w:gridSpan w:val="2"/>
            <w:tcBorders>
              <w:top w:val="single" w:sz="4" w:space="0" w:color="000000"/>
              <w:left w:val="single" w:sz="4" w:space="0" w:color="000000"/>
              <w:bottom w:val="single" w:sz="4" w:space="0" w:color="000000"/>
              <w:right w:val="single" w:sz="4" w:space="0" w:color="000000"/>
            </w:tcBorders>
            <w:shd w:color="auto" w:fill="C5E0B3" w:themeFill="accent6" w:themeFillTint="66"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事業者名</w:t>
            </w:r>
          </w:p>
        </w:tc>
        <w:tc>
          <w:tcPr>
            <w:tcW w:w="5722" w:type="dxa"/>
            <w:gridSpan w:val="2"/>
            <w:tcBorders>
              <w:top w:val="single" w:sz="4" w:space="0" w:color="000000"/>
              <w:left w:val="single" w:sz="4" w:space="0" w:color="000000"/>
              <w:bottom w:val="single" w:sz="4" w:space="0" w:color="000000"/>
              <w:right w:val="single" w:sz="4" w:space="0" w:color="000000"/>
            </w:tcBorders>
            <w:shd w:color="auto" w:fill="auto" w:val="clear"/>
            <w:tcMar>
              <w:top w:w="57" w:type="dxa"/>
              <w:bottom w:w="57" w:type="dxa"/>
            </w:tcMar>
            <w:vAlign w:val="center"/>
          </w:tcPr>
          <w:p>
            <w:pPr>
              <w:pStyle w:val="Normal"/>
              <w:widowControl w:val="false"/>
              <w:jc w:val="center"/>
              <w:rPr>
                <w:rFonts w:ascii="ＭＳ 明朝" w:hAnsi="ＭＳ 明朝" w:eastAsia="ＭＳ 明朝" w:cs="ＭＳ Ｐゴシック"/>
                <w:kern w:val="0"/>
                <w:sz w:val="24"/>
                <w:szCs w:val="24"/>
              </w:rPr>
            </w:pPr>
            <w:r>
              <w:rPr>
                <w:rFonts w:eastAsia="ＭＳ 明朝" w:ascii="ＭＳ 明朝" w:hAnsi="ＭＳ 明朝"/>
                <w:sz w:val="24"/>
                <w:szCs w:val="24"/>
              </w:rPr>
            </w:r>
          </w:p>
        </w:tc>
      </w:tr>
      <w:tr>
        <w:trPr>
          <w:trHeight w:val="51" w:hRule="atLeast"/>
        </w:trPr>
        <w:tc>
          <w:tcPr>
            <w:tcW w:w="4059" w:type="dxa"/>
            <w:gridSpan w:val="2"/>
            <w:tcBorders>
              <w:top w:val="single" w:sz="4" w:space="0" w:color="000000"/>
              <w:left w:val="single" w:sz="4" w:space="0" w:color="000000"/>
              <w:bottom w:val="single" w:sz="4" w:space="0" w:color="000000"/>
              <w:right w:val="single" w:sz="4" w:space="0" w:color="000000"/>
            </w:tcBorders>
            <w:shd w:color="auto" w:fill="C5E0B3" w:themeFill="accent6" w:themeFillTint="66"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記入者　役職・氏名</w:t>
            </w:r>
          </w:p>
        </w:tc>
        <w:tc>
          <w:tcPr>
            <w:tcW w:w="5722" w:type="dxa"/>
            <w:gridSpan w:val="2"/>
            <w:tcBorders>
              <w:top w:val="single" w:sz="4" w:space="0" w:color="000000"/>
              <w:left w:val="single" w:sz="4" w:space="0" w:color="000000"/>
              <w:bottom w:val="single" w:sz="4" w:space="0" w:color="000000"/>
              <w:right w:val="single" w:sz="4" w:space="0" w:color="000000"/>
            </w:tcBorders>
            <w:shd w:color="auto" w:fill="auto"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eastAsia="HGP教科書体" w:cs="ＭＳ Ｐゴシック" w:ascii="HGP教科書体" w:hAnsi="HGP教科書体"/>
                <w:kern w:val="0"/>
                <w:sz w:val="24"/>
                <w:szCs w:val="24"/>
              </w:rPr>
            </w:r>
          </w:p>
        </w:tc>
      </w:tr>
      <w:tr>
        <w:trPr>
          <w:trHeight w:val="51" w:hRule="atLeast"/>
        </w:trPr>
        <w:tc>
          <w:tcPr>
            <w:tcW w:w="4059" w:type="dxa"/>
            <w:gridSpan w:val="2"/>
            <w:tcBorders>
              <w:top w:val="single" w:sz="4" w:space="0" w:color="000000"/>
              <w:left w:val="single" w:sz="4" w:space="0" w:color="000000"/>
              <w:bottom w:val="single" w:sz="4" w:space="0" w:color="000000"/>
              <w:right w:val="single" w:sz="4" w:space="0" w:color="000000"/>
            </w:tcBorders>
            <w:shd w:color="auto" w:fill="C5E0B3" w:themeFill="accent6" w:themeFillTint="66"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業種</w:t>
            </w:r>
          </w:p>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0"/>
                <w:szCs w:val="20"/>
              </w:rPr>
              <w:t>（○を付ける。複数選択可）</w:t>
            </w:r>
          </w:p>
        </w:tc>
        <w:tc>
          <w:tcPr>
            <w:tcW w:w="5722" w:type="dxa"/>
            <w:gridSpan w:val="2"/>
            <w:tcBorders>
              <w:top w:val="single" w:sz="4" w:space="0" w:color="000000"/>
              <w:left w:val="single" w:sz="4" w:space="0" w:color="000000"/>
              <w:bottom w:val="single" w:sz="4" w:space="0" w:color="000000"/>
              <w:right w:val="single" w:sz="4" w:space="0" w:color="000000"/>
            </w:tcBorders>
            <w:shd w:color="auto" w:fill="auto"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素材生産／造林・保育／その他（　　　　　　）</w:t>
            </w:r>
          </w:p>
        </w:tc>
      </w:tr>
      <w:tr>
        <w:trPr>
          <w:trHeight w:val="45" w:hRule="atLeast"/>
        </w:trPr>
        <w:tc>
          <w:tcPr>
            <w:tcW w:w="4059" w:type="dxa"/>
            <w:gridSpan w:val="2"/>
            <w:tcBorders>
              <w:top w:val="single" w:sz="4" w:space="0" w:color="000000"/>
              <w:left w:val="single" w:sz="4" w:space="0" w:color="000000"/>
              <w:bottom w:val="single" w:sz="4" w:space="0" w:color="000000"/>
              <w:right w:val="single" w:sz="4" w:space="0" w:color="000000"/>
            </w:tcBorders>
            <w:shd w:color="auto" w:fill="C5E0B3" w:themeFill="accent6" w:themeFillTint="66"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雇用労働者の有無</w:t>
            </w:r>
          </w:p>
        </w:tc>
        <w:tc>
          <w:tcPr>
            <w:tcW w:w="5722" w:type="dxa"/>
            <w:gridSpan w:val="2"/>
            <w:tcBorders>
              <w:top w:val="single" w:sz="4" w:space="0" w:color="000000"/>
              <w:left w:val="single" w:sz="4" w:space="0" w:color="000000"/>
              <w:bottom w:val="single" w:sz="4" w:space="0" w:color="000000"/>
              <w:right w:val="single" w:sz="4" w:space="0" w:color="000000"/>
            </w:tcBorders>
            <w:shd w:color="auto" w:fill="auto"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有　／　無</w:t>
            </w:r>
          </w:p>
        </w:tc>
      </w:tr>
      <w:tr>
        <w:trPr>
          <w:trHeight w:val="47" w:hRule="atLeast"/>
        </w:trPr>
        <w:tc>
          <w:tcPr>
            <w:tcW w:w="4059" w:type="dxa"/>
            <w:gridSpan w:val="2"/>
            <w:tcBorders>
              <w:top w:val="single" w:sz="4" w:space="0" w:color="000000"/>
              <w:left w:val="single" w:sz="4" w:space="0" w:color="000000"/>
              <w:bottom w:val="single" w:sz="4" w:space="0" w:color="000000"/>
              <w:right w:val="single" w:sz="4" w:space="0" w:color="000000"/>
            </w:tcBorders>
            <w:shd w:color="auto" w:fill="C5E0B3" w:themeFill="accent6" w:themeFillTint="66"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記入日</w:t>
            </w:r>
          </w:p>
        </w:tc>
        <w:tc>
          <w:tcPr>
            <w:tcW w:w="5722" w:type="dxa"/>
            <w:gridSpan w:val="2"/>
            <w:tcBorders>
              <w:top w:val="single" w:sz="4" w:space="0" w:color="000000"/>
              <w:left w:val="single" w:sz="4" w:space="0" w:color="000000"/>
              <w:bottom w:val="single" w:sz="4" w:space="0" w:color="000000"/>
              <w:right w:val="single" w:sz="4" w:space="0" w:color="000000"/>
            </w:tcBorders>
            <w:shd w:color="auto" w:fill="auto" w:val="clear"/>
            <w:tcMar>
              <w:top w:w="57" w:type="dxa"/>
              <w:bottom w:w="57" w:type="dxa"/>
            </w:tcMar>
            <w:vAlign w:val="center"/>
          </w:tcPr>
          <w:p>
            <w:pPr>
              <w:pStyle w:val="Normal"/>
              <w:widowControl w:val="false"/>
              <w:jc w:val="center"/>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令和　　　　</w:t>
            </w:r>
            <w:r>
              <w:rPr>
                <w:rFonts w:eastAsia="HGP教科書体" w:cs="ＭＳ Ｐゴシック" w:ascii="HGP教科書体" w:hAnsi="HGP教科書体"/>
                <w:kern w:val="0"/>
                <w:sz w:val="24"/>
                <w:szCs w:val="24"/>
              </w:rPr>
              <w:t>4</w:t>
            </w:r>
            <w:r>
              <w:rPr>
                <w:rFonts w:ascii="HGP教科書体" w:hAnsi="HGP教科書体" w:cs="ＭＳ Ｐゴシック" w:eastAsia="HGP教科書体"/>
                <w:kern w:val="0"/>
                <w:sz w:val="24"/>
                <w:szCs w:val="24"/>
              </w:rPr>
              <w:t>年　　　　</w:t>
            </w:r>
            <w:r>
              <w:rPr>
                <w:rFonts w:eastAsia="HGP教科書体" w:cs="ＭＳ Ｐゴシック" w:ascii="HGP教科書体" w:hAnsi="HGP教科書体"/>
                <w:kern w:val="0"/>
                <w:sz w:val="24"/>
                <w:szCs w:val="24"/>
              </w:rPr>
              <w:t>4</w:t>
            </w:r>
            <w:r>
              <w:rPr>
                <w:rFonts w:ascii="HGP教科書体" w:hAnsi="HGP教科書体" w:cs="ＭＳ Ｐゴシック" w:eastAsia="HGP教科書体"/>
                <w:kern w:val="0"/>
                <w:sz w:val="24"/>
                <w:szCs w:val="24"/>
              </w:rPr>
              <w:t>月　　　　</w:t>
            </w:r>
            <w:r>
              <w:rPr>
                <w:rFonts w:eastAsia="HGP教科書体" w:cs="ＭＳ Ｐゴシック" w:ascii="HGP教科書体" w:hAnsi="HGP教科書体"/>
                <w:kern w:val="0"/>
                <w:sz w:val="24"/>
                <w:szCs w:val="24"/>
              </w:rPr>
              <w:t>1</w:t>
            </w:r>
            <w:r>
              <w:rPr>
                <w:rFonts w:ascii="HGP教科書体" w:hAnsi="HGP教科書体" w:cs="ＭＳ Ｐゴシック" w:eastAsia="HGP教科書体"/>
                <w:kern w:val="0"/>
                <w:sz w:val="24"/>
                <w:szCs w:val="24"/>
              </w:rPr>
              <w:t>日</w:t>
            </w:r>
          </w:p>
        </w:tc>
      </w:tr>
      <w:tr>
        <w:trPr>
          <w:trHeight w:val="28" w:hRule="atLeast"/>
        </w:trPr>
        <w:tc>
          <w:tcPr>
            <w:tcW w:w="9781" w:type="dxa"/>
            <w:gridSpan w:val="4"/>
            <w:tcBorders>
              <w:top w:val="single" w:sz="4" w:space="0" w:color="000000"/>
            </w:tcBorders>
            <w:shd w:color="auto" w:fill="auto" w:val="clear"/>
            <w:vAlign w:val="center"/>
          </w:tcPr>
          <w:p>
            <w:pPr>
              <w:pStyle w:val="Normal"/>
              <w:widowControl w:val="false"/>
              <w:spacing w:lineRule="exact" w:line="320"/>
              <w:jc w:val="left"/>
              <w:rPr>
                <w:rFonts w:ascii="HGP教科書体" w:hAnsi="HGP教科書体" w:eastAsia="HGP教科書体" w:cs="ＭＳ Ｐゴシック"/>
                <w:kern w:val="0"/>
                <w:sz w:val="24"/>
                <w:szCs w:val="24"/>
              </w:rPr>
            </w:pPr>
            <w:r>
              <w:rPr>
                <w:rFonts w:eastAsia="HGP教科書体" w:cs="ＭＳ Ｐゴシック" w:ascii="HGP教科書体" w:hAnsi="HGP教科書体"/>
                <w:kern w:val="0"/>
                <w:sz w:val="24"/>
                <w:szCs w:val="24"/>
              </w:rPr>
            </w:r>
          </w:p>
          <w:p>
            <w:pPr>
              <w:pStyle w:val="Normal"/>
              <w:widowControl w:val="false"/>
              <w:spacing w:lineRule="exact" w:line="320"/>
              <w:jc w:val="left"/>
              <w:rPr>
                <w:rFonts w:ascii="HGP教科書体" w:hAnsi="HGP教科書体" w:eastAsia="HGP教科書体" w:cs="ＭＳ Ｐゴシック"/>
                <w:kern w:val="0"/>
                <w:sz w:val="24"/>
                <w:szCs w:val="24"/>
              </w:rPr>
            </w:pPr>
            <w:r>
              <w:rPr>
                <w:rFonts w:ascii="HGP教科書体" w:hAnsi="HGP教科書体" w:cs="ＭＳ Ｐゴシック" w:eastAsia="HGP教科書体"/>
                <w:kern w:val="0"/>
                <w:sz w:val="24"/>
                <w:szCs w:val="24"/>
              </w:rPr>
              <w:t>現在の取組状況をご記入下さい。</w:t>
            </w:r>
          </w:p>
        </w:tc>
      </w:tr>
      <w:tr>
        <w:trPr>
          <w:trHeight w:val="31" w:hRule="exact"/>
        </w:trPr>
        <w:tc>
          <w:tcPr>
            <w:tcW w:w="9781" w:type="dxa"/>
            <w:gridSpan w:val="4"/>
            <w:tcBorders>
              <w:bottom w:val="single" w:sz="4" w:space="0" w:color="000000"/>
            </w:tcBorders>
            <w:shd w:color="auto" w:fill="auto" w:val="clear"/>
          </w:tcPr>
          <w:p>
            <w:pPr>
              <w:pStyle w:val="Normal"/>
              <w:widowControl w:val="false"/>
              <w:jc w:val="left"/>
              <w:rPr>
                <w:rFonts w:ascii="ＤＦ特太ゴシック体" w:hAnsi="ＤＦ特太ゴシック体" w:eastAsia="ＤＦ特太ゴシック体" w:cs="ＭＳ Ｐゴシック"/>
                <w:color w:val="000000"/>
                <w:kern w:val="0"/>
                <w:sz w:val="28"/>
                <w:szCs w:val="28"/>
              </w:rPr>
            </w:pPr>
            <w:r>
              <w:rPr>
                <w:rFonts w:eastAsia="ＤＦ特太ゴシック体" w:cs="ＭＳ Ｐゴシック" w:ascii="ＤＦ特太ゴシック体" w:hAnsi="ＤＦ特太ゴシック体"/>
                <w:color w:val="000000"/>
                <w:kern w:val="0"/>
                <w:sz w:val="28"/>
                <w:szCs w:val="28"/>
              </w:rPr>
            </w:r>
          </w:p>
        </w:tc>
      </w:tr>
      <w:tr>
        <w:trPr>
          <w:trHeight w:val="42" w:hRule="atLeast"/>
        </w:trPr>
        <w:tc>
          <w:tcPr>
            <w:tcW w:w="7512" w:type="dxa"/>
            <w:gridSpan w:val="3"/>
            <w:tcBorders>
              <w:top w:val="single" w:sz="4" w:space="0" w:color="000000"/>
              <w:left w:val="single" w:sz="4" w:space="0" w:color="000000"/>
              <w:bottom w:val="single" w:sz="4" w:space="0" w:color="000000"/>
              <w:right w:val="single" w:sz="4" w:space="0" w:color="000000"/>
            </w:tcBorders>
            <w:shd w:color="auto" w:fill="538135" w:themeFill="accent6" w:themeFillShade="bf" w:val="clear"/>
            <w:vAlign w:val="center"/>
          </w:tcPr>
          <w:p>
            <w:pPr>
              <w:pStyle w:val="Normal"/>
              <w:widowControl w:val="false"/>
              <w:jc w:val="center"/>
              <w:rPr>
                <w:rFonts w:ascii="ＭＳ ゴシック" w:hAnsi="ＭＳ ゴシック" w:eastAsia="ＭＳ ゴシック" w:cs="ＭＳ Ｐゴシック"/>
                <w:color w:val="FFFFFF" w:themeColor="background1"/>
                <w:kern w:val="0"/>
                <w:sz w:val="24"/>
                <w:szCs w:val="24"/>
              </w:rPr>
            </w:pPr>
            <w:r>
              <w:rPr>
                <w:rFonts w:ascii="ＭＳ ゴシック" w:hAnsi="ＭＳ ゴシック" w:cs="ＭＳ Ｐゴシック" w:eastAsia="ＭＳ ゴシック"/>
                <w:color w:val="FFFFFF" w:themeColor="background1"/>
                <w:kern w:val="0"/>
                <w:sz w:val="24"/>
                <w:szCs w:val="24"/>
              </w:rPr>
              <w:t>具体的な事項</w:t>
            </w:r>
          </w:p>
        </w:tc>
        <w:tc>
          <w:tcPr>
            <w:tcW w:w="2269" w:type="dxa"/>
            <w:tcBorders>
              <w:top w:val="single" w:sz="4" w:space="0" w:color="000000"/>
              <w:left w:val="single" w:sz="4" w:space="0" w:color="000000"/>
              <w:bottom w:val="single" w:sz="4" w:space="0" w:color="000000"/>
              <w:right w:val="single" w:sz="4" w:space="0" w:color="000000"/>
            </w:tcBorders>
            <w:shd w:color="auto" w:fill="538135" w:themeFill="accent6" w:themeFillShade="bf" w:val="clear"/>
            <w:vAlign w:val="center"/>
          </w:tcPr>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 xml:space="preserve">実施 </w:t>
            </w:r>
          </w:p>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実施していない</w:t>
            </w:r>
          </w:p>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今後、実施予定</w:t>
            </w:r>
          </w:p>
          <w:p>
            <w:pPr>
              <w:pStyle w:val="Normal"/>
              <w:widowControl w:val="false"/>
              <w:jc w:val="left"/>
              <w:rPr>
                <w:rFonts w:ascii="ＭＳ ゴシック" w:hAnsi="ＭＳ ゴシック" w:eastAsia="ＭＳ ゴシック" w:cs="ＭＳ Ｐゴシック"/>
                <w:color w:val="FFFFFF" w:themeColor="background1"/>
                <w:kern w:val="0"/>
                <w:szCs w:val="21"/>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該当しない</w:t>
            </w:r>
            <w:r>
              <w:rPr>
                <w:rFonts w:ascii="ＭＳ ゴシック" w:hAnsi="ＭＳ ゴシック" w:cs="ＭＳ Ｐゴシック" w:eastAsia="ＭＳ ゴシック"/>
                <w:color w:val="FFFFFF" w:themeColor="background1"/>
                <w:kern w:val="0"/>
                <w:szCs w:val="21"/>
              </w:rPr>
              <w:t>　　　</w:t>
            </w:r>
          </w:p>
        </w:tc>
      </w:tr>
      <w:tr>
        <w:trPr>
          <w:trHeight w:val="447" w:hRule="atLeast"/>
        </w:trPr>
        <w:tc>
          <w:tcPr>
            <w:tcW w:w="1133" w:type="dxa"/>
            <w:tcBorders>
              <w:top w:val="single" w:sz="4" w:space="0" w:color="000000"/>
              <w:left w:val="single" w:sz="4" w:space="0" w:color="000000"/>
              <w:bottom w:val="single" w:sz="4" w:space="0" w:color="000000"/>
              <w:right w:val="single" w:sz="4" w:space="0" w:color="000000"/>
            </w:tcBorders>
            <w:shd w:color="auto" w:fill="B9D9A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w:t>
            </w:r>
          </w:p>
        </w:tc>
        <w:tc>
          <w:tcPr>
            <w:tcW w:w="6379" w:type="dxa"/>
            <w:gridSpan w:val="2"/>
            <w:tcBorders>
              <w:top w:val="single" w:sz="4" w:space="0" w:color="000000"/>
              <w:left w:val="single" w:sz="4" w:space="0" w:color="000000"/>
              <w:bottom w:val="single" w:sz="4" w:space="0" w:color="000000"/>
              <w:right w:val="single" w:sz="4" w:space="0" w:color="000000"/>
            </w:tcBorders>
            <w:shd w:color="auto" w:fill="B9D9A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作業安全確保のために必要な対策を講じる</w:t>
            </w:r>
          </w:p>
        </w:tc>
        <w:tc>
          <w:tcPr>
            <w:tcW w:w="2269" w:type="dxa"/>
            <w:tcBorders>
              <w:top w:val="single" w:sz="4" w:space="0" w:color="000000"/>
              <w:left w:val="single" w:sz="4" w:space="0" w:color="000000"/>
              <w:bottom w:val="single" w:sz="4" w:space="0" w:color="000000"/>
              <w:right w:val="single" w:sz="4" w:space="0" w:color="000000"/>
            </w:tcBorders>
            <w:shd w:color="auto" w:fill="B9D9A3" w:val="clear"/>
            <w:vAlign w:val="center"/>
          </w:tcPr>
          <w:p>
            <w:pPr>
              <w:pStyle w:val="Normal"/>
              <w:widowControl w:val="false"/>
              <w:jc w:val="left"/>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97"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1-(1)</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人的対応力の向上</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0"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1-(1)-①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作業事故防止に向けた方針を表明し、具体的な目標を設定する。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32"/>
                <w:szCs w:val="32"/>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 xml:space="preserve">1-(1)-② </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知識、経験等を踏まえて、安全対策の責任者や担当者を選任する。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32"/>
                <w:szCs w:val="32"/>
              </w:rPr>
            </w:pPr>
            <w:r>
              <w:rPr>
                <w:rFonts w:eastAsia="ＭＳ Ｐ明朝" w:cs="ＭＳ Ｐゴシック" w:ascii="ＭＳ Ｐ明朝" w:hAnsi="ＭＳ Ｐ明朝"/>
                <w:color w:val="000000"/>
                <w:kern w:val="0"/>
                <w:sz w:val="32"/>
                <w:szCs w:val="32"/>
              </w:rPr>
            </w:r>
          </w:p>
        </w:tc>
      </w:tr>
      <w:tr>
        <w:trPr>
          <w:trHeight w:val="103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1-(1)-③</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作業安全に関する研修・教育等を受ける。また、作業安全に関する最新の知見や情報の幅広い収集に努める。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1-(1)-④</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適切な技能や免許等が必要な業務には、有資格者を就かせる。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1-(1)-⑤</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職場での朝礼や定期的な集会等により、作業の計画や安全意識を周知・徹底する。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23"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1-(1)-⑥</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安全対策の推進に向け、従事者の提案を促す。</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8"/>
                <w:szCs w:val="28"/>
              </w:rPr>
            </w:pPr>
            <w:r>
              <w:rPr>
                <w:rFonts w:eastAsia="ＭＳ Ｐ明朝" w:cs="ＭＳ Ｐゴシック" w:ascii="ＭＳ Ｐ明朝" w:hAnsi="ＭＳ Ｐ明朝"/>
                <w:color w:val="000000"/>
                <w:kern w:val="0"/>
                <w:sz w:val="28"/>
                <w:szCs w:val="28"/>
              </w:rPr>
            </w:r>
          </w:p>
        </w:tc>
      </w:tr>
      <w:tr>
        <w:trPr>
          <w:trHeight w:val="501"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作業安全のためのルールや手順の順守</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603"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関係法令等を遵守する。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rPr>
            </w:r>
          </w:p>
        </w:tc>
      </w:tr>
      <w:tr>
        <w:trPr>
          <w:trHeight w:val="45" w:hRule="atLeast"/>
        </w:trPr>
        <w:tc>
          <w:tcPr>
            <w:tcW w:w="7512" w:type="dxa"/>
            <w:gridSpan w:val="3"/>
            <w:tcBorders>
              <w:top w:val="single" w:sz="4" w:space="0" w:color="000000"/>
              <w:left w:val="single" w:sz="4" w:space="0" w:color="000000"/>
              <w:bottom w:val="single" w:sz="4" w:space="0" w:color="000000"/>
              <w:right w:val="single" w:sz="4" w:space="0" w:color="000000"/>
            </w:tcBorders>
            <w:shd w:color="auto" w:fill="538135" w:themeFill="accent6" w:themeFillShade="bf" w:val="clear"/>
            <w:vAlign w:val="center"/>
          </w:tcPr>
          <w:p>
            <w:pPr>
              <w:pStyle w:val="Normal"/>
              <w:widowControl w:val="false"/>
              <w:jc w:val="center"/>
              <w:rPr>
                <w:rFonts w:ascii="ＭＳ ゴシック" w:hAnsi="ＭＳ ゴシック" w:eastAsia="ＭＳ ゴシック" w:cs="ＭＳ Ｐゴシック"/>
                <w:color w:val="FFFFFF" w:themeColor="background1"/>
                <w:kern w:val="0"/>
                <w:sz w:val="24"/>
                <w:szCs w:val="24"/>
              </w:rPr>
            </w:pPr>
            <w:r>
              <w:rPr>
                <w:rFonts w:ascii="ＭＳ ゴシック" w:hAnsi="ＭＳ ゴシック" w:cs="ＭＳ Ｐゴシック" w:eastAsia="ＭＳ ゴシック"/>
                <w:color w:val="FFFFFF" w:themeColor="background1"/>
                <w:kern w:val="0"/>
                <w:sz w:val="24"/>
                <w:szCs w:val="24"/>
              </w:rPr>
              <w:t>具体的な事項</w:t>
            </w:r>
          </w:p>
        </w:tc>
        <w:tc>
          <w:tcPr>
            <w:tcW w:w="2269" w:type="dxa"/>
            <w:tcBorders>
              <w:top w:val="single" w:sz="4" w:space="0" w:color="000000"/>
              <w:left w:val="single" w:sz="4" w:space="0" w:color="000000"/>
              <w:bottom w:val="single" w:sz="4" w:space="0" w:color="000000"/>
              <w:right w:val="single" w:sz="4" w:space="0" w:color="000000"/>
            </w:tcBorders>
            <w:shd w:color="auto" w:fill="538135" w:themeFill="accent6" w:themeFillShade="bf" w:val="clear"/>
            <w:vAlign w:val="center"/>
          </w:tcPr>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 xml:space="preserve">実施 </w:t>
            </w:r>
          </w:p>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実施していない</w:t>
            </w:r>
          </w:p>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今後、実施予定</w:t>
            </w:r>
          </w:p>
          <w:p>
            <w:pPr>
              <w:pStyle w:val="Normal"/>
              <w:widowControl w:val="false"/>
              <w:jc w:val="left"/>
              <w:rPr>
                <w:rFonts w:ascii="ＭＳ ゴシック" w:hAnsi="ＭＳ ゴシック" w:eastAsia="ＭＳ ゴシック" w:cs="ＭＳ Ｐゴシック"/>
                <w:color w:val="FFFFFF" w:themeColor="background1"/>
                <w:kern w:val="0"/>
                <w:szCs w:val="21"/>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該当しない</w:t>
            </w:r>
            <w:r>
              <w:rPr>
                <w:rFonts w:ascii="ＭＳ ゴシック" w:hAnsi="ＭＳ ゴシック" w:cs="ＭＳ Ｐゴシック" w:eastAsia="ＭＳ ゴシック"/>
                <w:color w:val="FFFFFF" w:themeColor="background1"/>
                <w:kern w:val="0"/>
                <w:szCs w:val="21"/>
              </w:rPr>
              <w:t>　　　</w:t>
            </w:r>
          </w:p>
        </w:tc>
      </w:tr>
      <w:tr>
        <w:trPr>
          <w:trHeight w:val="621"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1-(2)-②</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高性能林業機械やチェーンソー等、資機材等の使用に当たっては、取扱説明書の確認等を通じて適切な使用方法を理解する。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621"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1-(2)-③</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作業に応じ、安全に配慮した服装や保護具等を着用する。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1-(2)-④</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日常的な確認や健康診断、ストレスチェック等により、健康状態の管理を行う。</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1-(2)-⑤</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作業中に必要な休憩をとる。また、暑熱環境下では水分や塩分を摂取する。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1-(2)-⑥</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作業安全対策に知見のある第三者等によるチェック及び指導を受ける。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1-(3)</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資機材、設備等の安全性の確保</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1-(3)-①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燃料や薬剤など危険性・有害性のある資材は、適切に保管し、安全に取り扱う。</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557"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1-(3)-②</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機械や刃物等の日常点検・整備・保管を適切に行う。</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32"/>
                <w:szCs w:val="32"/>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1-(3)-③</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資機材、設備等を導入・更新する際には、可能な限り安全に配慮したものを選択する。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39"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1-(4)</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作業環境の改善</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1-(4)-①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職場や個人の状況に応じ、適切な作業分担を行う。また、日々の健康状態に応じて適切に分担を変更する。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32"/>
                <w:szCs w:val="32"/>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1-(4)-②</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高齢者を雇用する場合は、高齢者に配慮した作業環境の整備、作業管理を行う。</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1-(4)-③</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安全な作業手順、作業動作、機械・器具の使用方法等を明文化又は可視化し、全ての従事者が見ることができるようにする。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547"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1-(4)-④</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現場の危険箇所を予め特定し、改善・整備や注意喚起を行う。</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81"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1-(4)-⑤</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４Ｓ（整理・整頓・清潔・清掃）活動を行う。</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8"/>
                <w:szCs w:val="28"/>
              </w:rPr>
            </w:pPr>
            <w:r>
              <w:rPr>
                <w:rFonts w:eastAsia="ＭＳ Ｐ明朝" w:cs="ＭＳ Ｐゴシック" w:ascii="ＭＳ Ｐ明朝" w:hAnsi="ＭＳ Ｐ明朝"/>
                <w:color w:val="000000"/>
                <w:kern w:val="0"/>
                <w:sz w:val="24"/>
                <w:szCs w:val="24"/>
              </w:rPr>
            </w:r>
          </w:p>
        </w:tc>
      </w:tr>
      <w:tr>
        <w:trPr>
          <w:trHeight w:val="563"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1-(5)</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事故事例やヒヤリ・ハット事例などの情報の分析と活用</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5" w:hRule="atLeast"/>
        </w:trPr>
        <w:tc>
          <w:tcPr>
            <w:tcW w:w="7512" w:type="dxa"/>
            <w:gridSpan w:val="3"/>
            <w:tcBorders>
              <w:top w:val="single" w:sz="4" w:space="0" w:color="000000"/>
              <w:left w:val="single" w:sz="4" w:space="0" w:color="000000"/>
              <w:bottom w:val="single" w:sz="4" w:space="0" w:color="000000"/>
              <w:right w:val="single" w:sz="4" w:space="0" w:color="000000"/>
            </w:tcBorders>
            <w:shd w:color="auto" w:fill="538135" w:themeFill="accent6" w:themeFillShade="bf" w:val="clear"/>
            <w:vAlign w:val="center"/>
          </w:tcPr>
          <w:p>
            <w:pPr>
              <w:pStyle w:val="Normal"/>
              <w:widowControl w:val="false"/>
              <w:jc w:val="center"/>
              <w:rPr>
                <w:rFonts w:ascii="ＭＳ ゴシック" w:hAnsi="ＭＳ ゴシック" w:eastAsia="ＭＳ ゴシック" w:cs="ＭＳ Ｐゴシック"/>
                <w:color w:val="FFFFFF" w:themeColor="background1"/>
                <w:kern w:val="0"/>
                <w:sz w:val="24"/>
                <w:szCs w:val="24"/>
              </w:rPr>
            </w:pPr>
            <w:r>
              <w:rPr>
                <w:rFonts w:ascii="ＭＳ ゴシック" w:hAnsi="ＭＳ ゴシック" w:cs="ＭＳ Ｐゴシック" w:eastAsia="ＭＳ ゴシック"/>
                <w:color w:val="FFFFFF" w:themeColor="background1"/>
                <w:kern w:val="0"/>
                <w:sz w:val="24"/>
                <w:szCs w:val="24"/>
              </w:rPr>
              <w:t>具体的な事項</w:t>
            </w:r>
          </w:p>
        </w:tc>
        <w:tc>
          <w:tcPr>
            <w:tcW w:w="2269" w:type="dxa"/>
            <w:tcBorders>
              <w:top w:val="single" w:sz="4" w:space="0" w:color="000000"/>
              <w:left w:val="single" w:sz="4" w:space="0" w:color="000000"/>
              <w:bottom w:val="single" w:sz="4" w:space="0" w:color="000000"/>
              <w:right w:val="single" w:sz="4" w:space="0" w:color="000000"/>
            </w:tcBorders>
            <w:shd w:color="auto" w:fill="538135" w:themeFill="accent6" w:themeFillShade="bf" w:val="clear"/>
            <w:vAlign w:val="center"/>
          </w:tcPr>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 xml:space="preserve">実施 </w:t>
            </w:r>
          </w:p>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実施していない</w:t>
            </w:r>
          </w:p>
          <w:p>
            <w:pPr>
              <w:pStyle w:val="Normal"/>
              <w:widowControl w:val="false"/>
              <w:jc w:val="left"/>
              <w:rPr>
                <w:rFonts w:ascii="ＭＳ ゴシック" w:hAnsi="ＭＳ ゴシック" w:eastAsia="ＭＳ ゴシック" w:cs="ＭＳ Ｐゴシック"/>
                <w:color w:val="FFFFFF" w:themeColor="background1"/>
                <w:kern w:val="0"/>
                <w:sz w:val="20"/>
                <w:szCs w:val="20"/>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今後、実施予定</w:t>
            </w:r>
          </w:p>
          <w:p>
            <w:pPr>
              <w:pStyle w:val="Normal"/>
              <w:widowControl w:val="false"/>
              <w:jc w:val="left"/>
              <w:rPr>
                <w:rFonts w:ascii="ＭＳ ゴシック" w:hAnsi="ＭＳ ゴシック" w:eastAsia="ＭＳ ゴシック" w:cs="ＭＳ Ｐゴシック"/>
                <w:color w:val="FFFFFF" w:themeColor="background1"/>
                <w:kern w:val="0"/>
                <w:szCs w:val="21"/>
              </w:rPr>
            </w:pPr>
            <w:r>
              <w:rPr>
                <w:rFonts w:ascii="ＭＳ ゴシック" w:hAnsi="ＭＳ ゴシック" w:cs="ＭＳ Ｐゴシック" w:eastAsia="ＭＳ ゴシック"/>
                <w:color w:val="FFFFFF" w:themeColor="background1"/>
                <w:kern w:val="0"/>
                <w:sz w:val="20"/>
                <w:szCs w:val="20"/>
              </w:rPr>
              <w:t>－</w:t>
            </w:r>
            <w:r>
              <w:rPr>
                <w:rFonts w:eastAsia="ＭＳ ゴシック" w:cs="ＭＳ Ｐゴシック" w:ascii="ＭＳ ゴシック" w:hAnsi="ＭＳ ゴシック"/>
                <w:color w:val="FFFFFF" w:themeColor="background1"/>
                <w:kern w:val="0"/>
                <w:sz w:val="20"/>
                <w:szCs w:val="20"/>
              </w:rPr>
              <w:t>:</w:t>
            </w:r>
            <w:r>
              <w:rPr>
                <w:rFonts w:ascii="ＭＳ ゴシック" w:hAnsi="ＭＳ ゴシック" w:cs="ＭＳ Ｐゴシック" w:eastAsia="ＭＳ ゴシック"/>
                <w:color w:val="FFFFFF" w:themeColor="background1"/>
                <w:kern w:val="0"/>
                <w:sz w:val="20"/>
                <w:szCs w:val="20"/>
              </w:rPr>
              <w:t>該当しない</w:t>
            </w:r>
            <w:r>
              <w:rPr>
                <w:rFonts w:ascii="ＭＳ ゴシック" w:hAnsi="ＭＳ ゴシック" w:cs="ＭＳ Ｐゴシック" w:eastAsia="ＭＳ ゴシック"/>
                <w:color w:val="FFFFFF" w:themeColor="background1"/>
                <w:kern w:val="0"/>
                <w:szCs w:val="21"/>
              </w:rPr>
              <w:t>　　　</w:t>
            </w:r>
          </w:p>
        </w:tc>
      </w:tr>
      <w:tr>
        <w:trPr>
          <w:trHeight w:val="479"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1-(5)-①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79"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1-(5)-②</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実施した作業安全対策の内容を記録する。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79" w:hRule="atLeast"/>
        </w:trPr>
        <w:tc>
          <w:tcPr>
            <w:tcW w:w="1133" w:type="dxa"/>
            <w:tcBorders>
              <w:top w:val="single" w:sz="4" w:space="0" w:color="000000"/>
              <w:left w:val="single" w:sz="4" w:space="0" w:color="000000"/>
              <w:bottom w:val="single" w:sz="4" w:space="0" w:color="000000"/>
              <w:right w:val="single" w:sz="4" w:space="0" w:color="000000"/>
            </w:tcBorders>
            <w:shd w:color="auto" w:fill="B9D9A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w:t>
            </w:r>
          </w:p>
        </w:tc>
        <w:tc>
          <w:tcPr>
            <w:tcW w:w="6379" w:type="dxa"/>
            <w:gridSpan w:val="2"/>
            <w:tcBorders>
              <w:top w:val="single" w:sz="4" w:space="0" w:color="000000"/>
              <w:left w:val="single" w:sz="4" w:space="0" w:color="000000"/>
              <w:bottom w:val="single" w:sz="4" w:space="0" w:color="000000"/>
              <w:right w:val="single" w:sz="4" w:space="0" w:color="000000"/>
            </w:tcBorders>
            <w:shd w:color="auto" w:fill="B9D9A3" w:val="clear"/>
            <w:vAlign w:val="center"/>
          </w:tcPr>
          <w:p>
            <w:pPr>
              <w:pStyle w:val="Normal"/>
              <w:widowControl w:val="false"/>
              <w:jc w:val="left"/>
              <w:rPr>
                <w:rFonts w:ascii="HGP教科書体" w:hAnsi="HGP教科書体" w:eastAsia="HGP教科書体"/>
                <w:color w:val="000000" w:themeColor="text1"/>
                <w:sz w:val="24"/>
                <w:szCs w:val="24"/>
              </w:rPr>
            </w:pPr>
            <w:r>
              <w:rPr>
                <w:rFonts w:ascii="HGP教科書体" w:hAnsi="HGP教科書体" w:eastAsia="HGP教科書体"/>
                <w:color w:val="000000" w:themeColor="text1"/>
                <w:sz w:val="24"/>
                <w:szCs w:val="24"/>
              </w:rPr>
              <w:t>事故発生時に備える</w:t>
            </w:r>
          </w:p>
        </w:tc>
        <w:tc>
          <w:tcPr>
            <w:tcW w:w="2269" w:type="dxa"/>
            <w:tcBorders>
              <w:top w:val="single" w:sz="4" w:space="0" w:color="000000"/>
              <w:left w:val="single" w:sz="4" w:space="0" w:color="000000"/>
              <w:bottom w:val="single" w:sz="4" w:space="0" w:color="000000"/>
              <w:right w:val="single" w:sz="4" w:space="0" w:color="000000"/>
            </w:tcBorders>
            <w:shd w:color="auto" w:fill="B9D9A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613"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2-(1)</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労災保険への加入等、補償措置の確保</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2-(1)-①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eastAsia="HGP教科書体"/>
                <w:color w:val="000000" w:themeColor="text1"/>
                <w:sz w:val="24"/>
                <w:szCs w:val="24"/>
              </w:rPr>
              <w:t>経営者や家族従事者を含めて、労災保険やその他の補償措置を講じる。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551"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2-(2)</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事故後の速やかな対応策、再発防止策の検討と実施</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2-(2)-①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事故が発生した場合の対応（救護・搬送、連絡、その後の調査、労基署への届出、再発防止策の策定等）の手順を明文化する。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2-(3)</w:t>
            </w:r>
          </w:p>
        </w:tc>
        <w:tc>
          <w:tcPr>
            <w:tcW w:w="6379"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事故時の事業継続のための備え</w:t>
            </w:r>
          </w:p>
        </w:tc>
        <w:tc>
          <w:tcPr>
            <w:tcW w:w="2269" w:type="dxa"/>
            <w:tcBorders>
              <w:top w:val="single" w:sz="4" w:space="0" w:color="000000"/>
              <w:left w:val="single" w:sz="4" w:space="0" w:color="000000"/>
              <w:bottom w:val="single" w:sz="4" w:space="0" w:color="000000"/>
              <w:right w:val="single" w:sz="4" w:space="0" w:color="000000"/>
            </w:tcBorders>
            <w:shd w:color="auto" w:fill="E2EFD9" w:themeFill="accent6" w:themeFillTint="33" w:val="clear"/>
            <w:vAlign w:val="center"/>
          </w:tcPr>
          <w:p>
            <w:pPr>
              <w:pStyle w:val="Normal"/>
              <w:widowControl w:val="false"/>
              <w:jc w:val="center"/>
              <w:rPr>
                <w:rFonts w:ascii="ＭＳ ゴシック" w:hAnsi="ＭＳ ゴシック" w:eastAsia="ＭＳ ゴシック" w:cs="ＭＳ Ｐゴシック"/>
                <w:color w:val="000000"/>
                <w:kern w:val="0"/>
                <w:sz w:val="24"/>
                <w:szCs w:val="24"/>
              </w:rPr>
            </w:pPr>
            <w:r>
              <w:rPr>
                <w:rFonts w:eastAsia="ＭＳ ゴシック" w:cs="ＭＳ Ｐゴシック" w:ascii="ＭＳ ゴシック" w:hAnsi="ＭＳ ゴシック"/>
                <w:color w:val="000000"/>
                <w:kern w:val="0"/>
                <w:sz w:val="24"/>
                <w:szCs w:val="24"/>
              </w:rPr>
            </w:r>
          </w:p>
        </w:tc>
      </w:tr>
      <w:tr>
        <w:trPr>
          <w:trHeight w:val="45" w:hRule="atLeast"/>
        </w:trPr>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eastAsia="HGP教科書体" w:cs="ＭＳ Ｐゴシック" w:ascii="HGP教科書体" w:hAnsi="HGP教科書体"/>
                <w:color w:val="000000"/>
                <w:kern w:val="0"/>
                <w:sz w:val="24"/>
                <w:szCs w:val="24"/>
              </w:rPr>
              <w:t>2-(3)-①</w:t>
            </w:r>
          </w:p>
        </w:tc>
        <w:tc>
          <w:tcPr>
            <w:tcW w:w="63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HGP教科書体" w:hAnsi="HGP教科書体" w:eastAsia="HGP教科書体" w:cs="ＭＳ Ｐゴシック"/>
                <w:color w:val="000000"/>
                <w:kern w:val="0"/>
                <w:sz w:val="24"/>
                <w:szCs w:val="24"/>
              </w:rPr>
            </w:pPr>
            <w:r>
              <w:rPr>
                <w:rFonts w:ascii="HGP教科書体" w:hAnsi="HGP教科書体" w:cs="ＭＳ Ｐゴシック" w:eastAsia="HGP教科書体"/>
                <w:color w:val="000000"/>
                <w:kern w:val="0"/>
                <w:sz w:val="24"/>
                <w:szCs w:val="24"/>
              </w:rPr>
              <w:t>事故により従事者が作業に従事ができなくなった場合等に事業が継続できるよう、あらかじめ方策を検討する。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Ｐ明朝" w:hAnsi="ＭＳ Ｐ明朝" w:eastAsia="ＭＳ Ｐ明朝" w:cs="ＭＳ Ｐゴシック"/>
                <w:color w:val="000000"/>
                <w:kern w:val="0"/>
                <w:sz w:val="24"/>
                <w:szCs w:val="24"/>
              </w:rPr>
            </w:pPr>
            <w:r>
              <w:rPr>
                <w:rFonts w:eastAsia="ＭＳ Ｐ明朝" w:cs="ＭＳ Ｐゴシック" w:ascii="ＭＳ Ｐ明朝" w:hAnsi="ＭＳ Ｐ明朝"/>
                <w:color w:val="000000"/>
                <w:kern w:val="0"/>
                <w:sz w:val="24"/>
                <w:szCs w:val="24"/>
              </w:rPr>
            </w:r>
          </w:p>
        </w:tc>
      </w:tr>
    </w:tbl>
    <w:p>
      <w:pPr>
        <w:pStyle w:val="Normal"/>
        <w:rPr>
          <w:rFonts w:ascii="ＭＳ 明朝" w:hAnsi="ＭＳ 明朝" w:eastAsia="ＭＳ 明朝"/>
        </w:rPr>
      </w:pPr>
      <w:r>
        <w:rPr/>
      </w:r>
    </w:p>
    <w:sectPr>
      <w:type w:val="nextPage"/>
      <w:pgSz w:w="11906" w:h="16838"/>
      <w:pgMar w:left="1021" w:right="1021" w:header="0" w:top="1134" w:footer="0" w:bottom="1134" w:gutter="0"/>
      <w:pgNumType w:fmt="decimal"/>
      <w:formProt w:val="false"/>
      <w:textDirection w:val="lrTb"/>
      <w:docGrid w:type="lines" w:linePitch="383"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01"/>
    <w:family w:val="auto"/>
    <w:pitch w:val="default"/>
  </w:font>
  <w:font w:name="游ゴシック Light">
    <w:charset w:val="01"/>
    <w:family w:val="auto"/>
    <w:pitch w:val="default"/>
  </w:font>
  <w:font w:name="Liberation Sans">
    <w:altName w:val="Arial"/>
    <w:charset w:val="80"/>
    <w:family w:val="swiss"/>
    <w:pitch w:val="variable"/>
  </w:font>
  <w:font w:name="ＭＳ ゴシック">
    <w:charset w:val="01"/>
    <w:family w:val="auto"/>
    <w:pitch w:val="default"/>
  </w:font>
  <w:font w:name="HGP教科書体">
    <w:charset w:val="01"/>
    <w:family w:val="auto"/>
    <w:pitch w:val="default"/>
  </w:font>
  <w:font w:name="ＭＳ 明朝">
    <w:charset w:val="01"/>
    <w:family w:val="auto"/>
    <w:pitch w:val="default"/>
  </w:font>
  <w:font w:name="ＤＦ特太ゴシック体">
    <w:charset w:val="01"/>
    <w:family w:val="auto"/>
    <w:pitch w:val="default"/>
  </w:font>
  <w:font w:name="ＭＳ Ｐ明朝">
    <w:charset w:val="01"/>
    <w:family w:val="auto"/>
    <w:pitch w:val="default"/>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1d1f"/>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b778db"/>
    <w:rPr/>
  </w:style>
  <w:style w:type="character" w:styleId="Style15" w:customStyle="1">
    <w:name w:val="フッター (文字)"/>
    <w:basedOn w:val="DefaultParagraphFont"/>
    <w:link w:val="a5"/>
    <w:uiPriority w:val="99"/>
    <w:qFormat/>
    <w:rsid w:val="00b778db"/>
    <w:rPr/>
  </w:style>
  <w:style w:type="character" w:styleId="Annotationreference">
    <w:name w:val="annotation reference"/>
    <w:basedOn w:val="DefaultParagraphFont"/>
    <w:uiPriority w:val="99"/>
    <w:semiHidden/>
    <w:unhideWhenUsed/>
    <w:qFormat/>
    <w:rsid w:val="003b24a6"/>
    <w:rPr>
      <w:sz w:val="18"/>
      <w:szCs w:val="18"/>
    </w:rPr>
  </w:style>
  <w:style w:type="character" w:styleId="Style16" w:customStyle="1">
    <w:name w:val="コメント文字列 (文字)"/>
    <w:basedOn w:val="DefaultParagraphFont"/>
    <w:link w:val="a8"/>
    <w:uiPriority w:val="99"/>
    <w:semiHidden/>
    <w:qFormat/>
    <w:rsid w:val="003b24a6"/>
    <w:rPr/>
  </w:style>
  <w:style w:type="character" w:styleId="Style17" w:customStyle="1">
    <w:name w:val="コメント内容 (文字)"/>
    <w:basedOn w:val="Style16"/>
    <w:link w:val="aa"/>
    <w:uiPriority w:val="99"/>
    <w:semiHidden/>
    <w:qFormat/>
    <w:rsid w:val="003b24a6"/>
    <w:rPr>
      <w:b/>
      <w:bCs/>
    </w:rPr>
  </w:style>
  <w:style w:type="character" w:styleId="Style18" w:customStyle="1">
    <w:name w:val="吹き出し (文字)"/>
    <w:basedOn w:val="DefaultParagraphFont"/>
    <w:link w:val="ac"/>
    <w:uiPriority w:val="99"/>
    <w:semiHidden/>
    <w:qFormat/>
    <w:rsid w:val="003b24a6"/>
    <w:rPr>
      <w:rFonts w:ascii="游ゴシック Light" w:hAnsi="游ゴシック Light" w:eastAsia="游ゴシック Light" w:cs=""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游明朝" w:hAnsi="游明朝" w:eastAsia="ＭＳ ゴシック" w:cs="Lucida Sans"/>
    </w:rPr>
  </w:style>
  <w:style w:type="paragraph" w:styleId="Style22">
    <w:name w:val="Caption"/>
    <w:basedOn w:val="Normal"/>
    <w:qFormat/>
    <w:pPr>
      <w:suppressLineNumbers/>
      <w:spacing w:before="120" w:after="120"/>
    </w:pPr>
    <w:rPr>
      <w:rFonts w:ascii="游明朝" w:hAnsi="游明朝" w:eastAsia="ＭＳ ゴシック" w:cs="Lucida Sans"/>
      <w:i/>
      <w:iCs/>
      <w:sz w:val="24"/>
      <w:szCs w:val="24"/>
    </w:rPr>
  </w:style>
  <w:style w:type="paragraph" w:styleId="Style23">
    <w:name w:val="索引"/>
    <w:basedOn w:val="Normal"/>
    <w:qFormat/>
    <w:pPr>
      <w:suppressLineNumbers/>
    </w:pPr>
    <w:rPr>
      <w:rFonts w:ascii="游明朝" w:hAnsi="游明朝" w:eastAsia="ＭＳ ゴシック" w:cs="Lucida Sans"/>
    </w:rPr>
  </w:style>
  <w:style w:type="paragraph" w:styleId="Style24">
    <w:name w:val="ヘッダーとフッター"/>
    <w:basedOn w:val="Normal"/>
    <w:qFormat/>
    <w:pPr/>
    <w:rPr/>
  </w:style>
  <w:style w:type="paragraph" w:styleId="Style25">
    <w:name w:val="Header"/>
    <w:basedOn w:val="Normal"/>
    <w:link w:val="a4"/>
    <w:uiPriority w:val="99"/>
    <w:unhideWhenUsed/>
    <w:rsid w:val="00b778db"/>
    <w:pPr>
      <w:tabs>
        <w:tab w:val="clear" w:pos="840"/>
        <w:tab w:val="center" w:pos="4252" w:leader="none"/>
        <w:tab w:val="right" w:pos="8504" w:leader="none"/>
      </w:tabs>
      <w:snapToGrid w:val="false"/>
    </w:pPr>
    <w:rPr/>
  </w:style>
  <w:style w:type="paragraph" w:styleId="Style26">
    <w:name w:val="Footer"/>
    <w:basedOn w:val="Normal"/>
    <w:link w:val="a6"/>
    <w:uiPriority w:val="99"/>
    <w:unhideWhenUsed/>
    <w:rsid w:val="00b778db"/>
    <w:pPr>
      <w:tabs>
        <w:tab w:val="clear" w:pos="840"/>
        <w:tab w:val="center" w:pos="4252" w:leader="none"/>
        <w:tab w:val="right" w:pos="8504" w:leader="none"/>
      </w:tabs>
      <w:snapToGrid w:val="false"/>
    </w:pPr>
    <w:rPr/>
  </w:style>
  <w:style w:type="paragraph" w:styleId="Annotationtext">
    <w:name w:val="annotation text"/>
    <w:basedOn w:val="Normal"/>
    <w:link w:val="a9"/>
    <w:uiPriority w:val="99"/>
    <w:semiHidden/>
    <w:unhideWhenUsed/>
    <w:qFormat/>
    <w:rsid w:val="003b24a6"/>
    <w:pPr>
      <w:jc w:val="left"/>
    </w:pPr>
    <w:rPr/>
  </w:style>
  <w:style w:type="paragraph" w:styleId="Annotationsubject">
    <w:name w:val="annotation subject"/>
    <w:basedOn w:val="Annotationtext"/>
    <w:next w:val="Annotationtext"/>
    <w:link w:val="ab"/>
    <w:uiPriority w:val="99"/>
    <w:semiHidden/>
    <w:unhideWhenUsed/>
    <w:qFormat/>
    <w:rsid w:val="003b24a6"/>
    <w:pPr/>
    <w:rPr>
      <w:b/>
      <w:bCs/>
    </w:rPr>
  </w:style>
  <w:style w:type="paragraph" w:styleId="BalloonText">
    <w:name w:val="Balloon Text"/>
    <w:basedOn w:val="Normal"/>
    <w:link w:val="ad"/>
    <w:uiPriority w:val="99"/>
    <w:semiHidden/>
    <w:unhideWhenUsed/>
    <w:qFormat/>
    <w:rsid w:val="003b24a6"/>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LibreOffice/7.1.2.2$Windows_x86 LibreOffice_project/8a45595d069ef5570103caea1b71cc9d82b2aae4</Application>
  <AppVersion>15.0000</AppVersion>
  <Pages>3</Pages>
  <Words>1350</Words>
  <Characters>1516</Characters>
  <CharactersWithSpaces>1552</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2021-04-13T02:51:00Z</dcterms:created>
  <dc:creator>上久保　光邦</dc:creator>
  <dc:description/>
  <dc:language>ja-JP</dc:language>
  <cp:lastModifiedBy/>
  <cp:lastPrinted>2020-12-09T11:45:00Z</cp:lastPrinted>
  <dcterms:modified xsi:type="dcterms:W3CDTF">2022-04-18T17:29:47Z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